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2018年度新疆喀什地区中共英吉沙县委党校部门决算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1、培训轮训科级领导干部、副科级领导干部、科级后备干部、县直机关和乡镇干部、村党支部书记、村委会主任、村干部、村级后备干部和其他基层党员干部以及入党积极分子，培养理论干部。</w:t>
      </w:r>
      <w:r>
        <w:rPr>
          <w:rFonts w:hint="eastAsia" w:ascii="仿宋_GB2312" w:eastAsia="仿宋_GB2312"/>
          <w:sz w:val="32"/>
          <w:szCs w:val="32"/>
        </w:rPr>
        <w:br w:type="textWrapping"/>
      </w:r>
      <w:r>
        <w:rPr>
          <w:rFonts w:hint="eastAsia" w:ascii="仿宋_GB2312" w:eastAsia="仿宋_GB2312"/>
          <w:sz w:val="32"/>
          <w:szCs w:val="32"/>
        </w:rPr>
        <w:t xml:space="preserve">    2、承办县委和县政府举办的专题研讨班。</w:t>
      </w:r>
      <w:r>
        <w:rPr>
          <w:rFonts w:hint="eastAsia" w:ascii="仿宋_GB2312" w:eastAsia="仿宋_GB2312"/>
          <w:sz w:val="32"/>
          <w:szCs w:val="32"/>
        </w:rPr>
        <w:br w:type="textWrapping"/>
      </w:r>
      <w:r>
        <w:rPr>
          <w:rFonts w:hint="eastAsia" w:ascii="仿宋_GB2312" w:eastAsia="仿宋_GB2312"/>
          <w:sz w:val="32"/>
          <w:szCs w:val="32"/>
        </w:rPr>
        <w:t xml:space="preserve">    3、围绕县城经济和社会发展中出现的新情况新问题开展科学研究，承担县委和县政府下达的调研任务，推进理论创新。</w:t>
      </w:r>
      <w:r>
        <w:rPr>
          <w:rFonts w:hint="eastAsia" w:ascii="仿宋_GB2312" w:eastAsia="仿宋_GB2312"/>
          <w:sz w:val="32"/>
          <w:szCs w:val="32"/>
        </w:rPr>
        <w:br w:type="textWrapping"/>
      </w:r>
      <w:r>
        <w:rPr>
          <w:rFonts w:hint="eastAsia" w:ascii="仿宋_GB2312" w:eastAsia="仿宋_GB2312"/>
          <w:sz w:val="32"/>
          <w:szCs w:val="32"/>
        </w:rPr>
        <w:t xml:space="preserve">    4、针对改革开放和社会主义现代化进程中的重大理论和现实问题，开展马克思主义中国化最新成果的理论宣传，开展党的路线、方针、政策的宣传。</w:t>
      </w:r>
      <w:r>
        <w:rPr>
          <w:rFonts w:hint="eastAsia" w:ascii="仿宋_GB2312" w:eastAsia="仿宋_GB2312"/>
          <w:sz w:val="32"/>
          <w:szCs w:val="32"/>
        </w:rPr>
        <w:br w:type="textWrapping"/>
      </w:r>
      <w:r>
        <w:rPr>
          <w:rFonts w:hint="eastAsia" w:ascii="仿宋_GB2312" w:eastAsia="仿宋_GB2312"/>
          <w:sz w:val="32"/>
          <w:szCs w:val="32"/>
        </w:rPr>
        <w:t xml:space="preserve">    5、协调组织人事部门开展公务员培训。</w:t>
      </w:r>
      <w:r>
        <w:rPr>
          <w:rFonts w:hint="eastAsia" w:ascii="仿宋_GB2312" w:eastAsia="仿宋_GB2312"/>
          <w:sz w:val="32"/>
          <w:szCs w:val="32"/>
        </w:rPr>
        <w:br w:type="textWrapping"/>
      </w:r>
      <w:r>
        <w:rPr>
          <w:rFonts w:hint="eastAsia" w:ascii="仿宋_GB2312" w:eastAsia="仿宋_GB2312"/>
          <w:sz w:val="32"/>
          <w:szCs w:val="32"/>
        </w:rPr>
        <w:t xml:space="preserve">    6、开展在职干部的学历教育。</w:t>
      </w:r>
      <w:r>
        <w:rPr>
          <w:rFonts w:hint="eastAsia" w:ascii="仿宋_GB2312" w:eastAsia="仿宋_GB2312"/>
          <w:sz w:val="32"/>
          <w:szCs w:val="32"/>
        </w:rPr>
        <w:br w:type="textWrapping"/>
      </w:r>
      <w:r>
        <w:rPr>
          <w:rFonts w:hint="eastAsia" w:ascii="仿宋_GB2312" w:eastAsia="仿宋_GB2312"/>
          <w:sz w:val="32"/>
          <w:szCs w:val="32"/>
        </w:rPr>
        <w:t xml:space="preserve">    7、开展同县内外教育、研究等机构和组织的合作与交流。</w:t>
      </w:r>
      <w:r>
        <w:rPr>
          <w:rFonts w:hint="eastAsia" w:ascii="仿宋_GB2312" w:eastAsia="仿宋_GB2312"/>
          <w:sz w:val="32"/>
          <w:szCs w:val="32"/>
        </w:rPr>
        <w:br w:type="textWrapping"/>
      </w:r>
      <w:r>
        <w:rPr>
          <w:rFonts w:hint="eastAsia" w:ascii="仿宋_GB2312" w:eastAsia="仿宋_GB2312"/>
          <w:sz w:val="32"/>
          <w:szCs w:val="32"/>
        </w:rPr>
        <w:t xml:space="preserve">    8、完成县委、政府和上级党校交办的其他任务。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新疆喀什地区中共英吉沙县委党校</w:t>
      </w:r>
      <w:r>
        <w:rPr>
          <w:rFonts w:hint="eastAsia" w:ascii="仿宋_GB2312" w:eastAsia="仿宋_GB2312"/>
          <w:sz w:val="32"/>
          <w:szCs w:val="32"/>
        </w:rPr>
        <w:t>部门决算包括：</w:t>
      </w:r>
      <w:r>
        <w:rPr>
          <w:rFonts w:ascii="仿宋_GB2312" w:eastAsia="仿宋_GB2312"/>
          <w:sz w:val="32"/>
          <w:szCs w:val="32"/>
        </w:rPr>
        <w:t>新疆喀什地区中共英吉沙县委党校</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新疆喀什地区中共英吉沙县委党校</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序号</w:t>
            </w:r>
          </w:p>
        </w:tc>
        <w:tc>
          <w:tcPr>
            <w:tcW w:w="3870"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新疆喀什地区中共英吉沙县委党校</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bookmarkStart w:id="4" w:name="OLE_LINK99"/>
      <w:bookmarkStart w:id="5" w:name="OLE_LINK100"/>
      <w:bookmarkStart w:id="6" w:name="OLE_LINK52"/>
      <w:r>
        <w:rPr>
          <w:rFonts w:hint="eastAsia" w:ascii="仿宋_GB2312" w:eastAsia="仿宋_GB2312"/>
          <w:color w:val="000000" w:themeColor="text1"/>
          <w:sz w:val="32"/>
          <w:szCs w:val="32"/>
          <w14:textFill>
            <w14:solidFill>
              <w14:schemeClr w14:val="tx1"/>
            </w14:solidFill>
          </w14:textFill>
        </w:rPr>
        <w:t>2018年度收入</w:t>
      </w:r>
      <w:r>
        <w:rPr>
          <w:rFonts w:hint="eastAsia" w:ascii="仿宋_GB2312" w:eastAsia="仿宋_GB2312"/>
          <w:sz w:val="32"/>
          <w:szCs w:val="32"/>
        </w:rPr>
        <w:t>235.1</w:t>
      </w:r>
      <w:r>
        <w:rPr>
          <w:rFonts w:hint="eastAsia" w:ascii="仿宋_GB2312" w:eastAsia="仿宋_GB2312"/>
          <w:color w:val="000000" w:themeColor="text1"/>
          <w:sz w:val="32"/>
          <w:szCs w:val="32"/>
          <w14:textFill>
            <w14:solidFill>
              <w14:schemeClr w14:val="tx1"/>
            </w14:solidFill>
          </w14:textFill>
        </w:rPr>
        <w:t>万元</w:t>
      </w:r>
      <w:bookmarkEnd w:id="4"/>
      <w:bookmarkEnd w:id="5"/>
      <w:r>
        <w:rPr>
          <w:rFonts w:hint="eastAsia" w:ascii="仿宋_GB2312" w:eastAsia="仿宋_GB2312"/>
          <w:sz w:val="32"/>
          <w:szCs w:val="32"/>
        </w:rPr>
        <w:t>，与上年相比，增加30.8万元，增长15.08%，增加的主要原因是：</w:t>
      </w:r>
      <w:r>
        <w:rPr>
          <w:rFonts w:hint="eastAsia" w:ascii="仿宋_GB2312" w:eastAsia="仿宋_GB2312"/>
          <w:color w:val="000000" w:themeColor="text1"/>
          <w:sz w:val="32"/>
          <w:szCs w:val="32"/>
          <w14:textFill>
            <w14:solidFill>
              <w14:schemeClr w14:val="tx1"/>
            </w14:solidFill>
          </w14:textFill>
        </w:rPr>
        <w:t>人员增加；基本工资调标；</w:t>
      </w:r>
      <w:bookmarkEnd w:id="6"/>
      <w:bookmarkStart w:id="7" w:name="OLE_LINK53"/>
      <w:r>
        <w:rPr>
          <w:rFonts w:hint="eastAsia" w:ascii="仿宋_GB2312" w:eastAsia="仿宋_GB2312"/>
          <w:color w:val="000000" w:themeColor="text1"/>
          <w:sz w:val="32"/>
          <w:szCs w:val="32"/>
          <w14:textFill>
            <w14:solidFill>
              <w14:schemeClr w14:val="tx1"/>
            </w14:solidFill>
          </w14:textFill>
        </w:rPr>
        <w:t>支出</w:t>
      </w:r>
      <w:r>
        <w:rPr>
          <w:rFonts w:hint="eastAsia" w:ascii="仿宋_GB2312" w:eastAsia="仿宋_GB2312"/>
          <w:sz w:val="32"/>
          <w:szCs w:val="32"/>
        </w:rPr>
        <w:t>235.1</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，与上年相比，增加30.8万元，增长15.08%，增加的主要原因是：</w:t>
      </w:r>
      <w:r>
        <w:rPr>
          <w:rFonts w:hint="eastAsia" w:ascii="仿宋_GB2312" w:eastAsia="仿宋_GB2312"/>
          <w:color w:val="000000" w:themeColor="text1"/>
          <w:sz w:val="32"/>
          <w:szCs w:val="32"/>
          <w14:textFill>
            <w14:solidFill>
              <w14:schemeClr w14:val="tx1"/>
            </w14:solidFill>
          </w14:textFill>
        </w:rPr>
        <w:t>人员增加；基本工资调标；</w:t>
      </w:r>
      <w:bookmarkEnd w:id="7"/>
      <w:bookmarkStart w:id="8" w:name="OLE_LINK54"/>
      <w:r>
        <w:rPr>
          <w:rFonts w:hint="eastAsia" w:ascii="仿宋_GB2312" w:eastAsia="仿宋_GB2312"/>
          <w:color w:val="000000" w:themeColor="text1"/>
          <w:sz w:val="32"/>
          <w:szCs w:val="32"/>
          <w14:textFill>
            <w14:solidFill>
              <w14:schemeClr w14:val="tx1"/>
            </w14:solidFill>
          </w14:textFill>
        </w:rPr>
        <w:t>结余</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w:t>
      </w:r>
      <w:r>
        <w:rPr>
          <w:rFonts w:hint="eastAsia" w:ascii="仿宋_GB2312" w:eastAsia="仿宋_GB2312"/>
          <w:sz w:val="32"/>
          <w:szCs w:val="32"/>
        </w:rPr>
        <w:t>主要原因是：</w:t>
      </w:r>
      <w:r>
        <w:rPr>
          <w:rFonts w:ascii="仿宋_GB2312" w:eastAsia="仿宋_GB2312"/>
          <w:color w:val="000000" w:themeColor="text1"/>
          <w:sz w:val="32"/>
          <w:szCs w:val="32"/>
          <w14:textFill>
            <w14:solidFill>
              <w14:schemeClr w14:val="tx1"/>
            </w14:solidFill>
          </w14:textFill>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本年收入合计</w:t>
      </w:r>
      <w:r>
        <w:rPr>
          <w:rFonts w:hint="eastAsia" w:ascii="仿宋_GB2312" w:eastAsia="仿宋_GB2312"/>
          <w:sz w:val="32"/>
          <w:szCs w:val="32"/>
        </w:rPr>
        <w:t>235.1</w:t>
      </w:r>
      <w:r>
        <w:rPr>
          <w:rFonts w:hint="eastAsia" w:ascii="仿宋_GB2312" w:eastAsia="仿宋_GB2312"/>
          <w:color w:val="000000" w:themeColor="text1"/>
          <w:sz w:val="32"/>
          <w:szCs w:val="32"/>
          <w14:textFill>
            <w14:solidFill>
              <w14:schemeClr w14:val="tx1"/>
            </w14:solidFill>
          </w14:textFill>
        </w:rPr>
        <w:t>万元，其中：</w:t>
      </w:r>
      <w:bookmarkStart w:id="9" w:name="OLE_LINK1"/>
      <w:r>
        <w:rPr>
          <w:rFonts w:hint="eastAsia" w:ascii="仿宋_GB2312" w:eastAsia="仿宋_GB2312"/>
          <w:color w:val="000000" w:themeColor="text1"/>
          <w:sz w:val="32"/>
          <w:szCs w:val="32"/>
          <w14:textFill>
            <w14:solidFill>
              <w14:schemeClr w14:val="tx1"/>
            </w14:solidFill>
          </w14:textFill>
        </w:rPr>
        <w:t>财政拨款收入</w:t>
      </w:r>
      <w:bookmarkEnd w:id="9"/>
      <w:r>
        <w:rPr>
          <w:rFonts w:hint="eastAsia" w:ascii="仿宋_GB2312" w:eastAsia="仿宋_GB2312"/>
          <w:sz w:val="32"/>
          <w:szCs w:val="32"/>
        </w:rPr>
        <w:t>233.45</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99.3%</w:t>
      </w:r>
      <w:r>
        <w:rPr>
          <w:rFonts w:hint="eastAsia" w:ascii="仿宋_GB2312" w:eastAsia="仿宋_GB2312"/>
          <w:color w:val="000000" w:themeColor="text1"/>
          <w:sz w:val="32"/>
          <w:szCs w:val="32"/>
          <w14:textFill>
            <w14:solidFill>
              <w14:schemeClr w14:val="tx1"/>
            </w14:solidFill>
          </w14:textFill>
        </w:rPr>
        <w:t>；</w:t>
      </w:r>
      <w:bookmarkStart w:id="10" w:name="OLE_LINK2"/>
      <w:r>
        <w:rPr>
          <w:rFonts w:hint="eastAsia" w:ascii="仿宋_GB2312" w:eastAsia="仿宋_GB2312"/>
          <w:color w:val="000000" w:themeColor="text1"/>
          <w:sz w:val="32"/>
          <w:szCs w:val="32"/>
          <w14:textFill>
            <w14:solidFill>
              <w14:schemeClr w14:val="tx1"/>
            </w14:solidFill>
          </w14:textFill>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1" w:name="OLE_LINK3"/>
      <w:r>
        <w:rPr>
          <w:rFonts w:hint="eastAsia" w:ascii="仿宋_GB2312" w:eastAsia="仿宋_GB2312"/>
          <w:color w:val="000000" w:themeColor="text1"/>
          <w:sz w:val="32"/>
          <w:szCs w:val="32"/>
          <w14:textFill>
            <w14:solidFill>
              <w14:schemeClr w14:val="tx1"/>
            </w14:solidFill>
          </w14:textFill>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2" w:name="OLE_LINK4"/>
      <w:r>
        <w:rPr>
          <w:rFonts w:hint="eastAsia" w:ascii="仿宋_GB2312" w:eastAsia="仿宋_GB2312"/>
          <w:color w:val="000000" w:themeColor="text1"/>
          <w:sz w:val="32"/>
          <w:szCs w:val="32"/>
          <w14:textFill>
            <w14:solidFill>
              <w14:schemeClr w14:val="tx1"/>
            </w14:solidFill>
          </w14:textFill>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3" w:name="OLE_LINK5"/>
      <w:r>
        <w:rPr>
          <w:rFonts w:hint="eastAsia" w:ascii="仿宋_GB2312" w:eastAsia="仿宋_GB2312"/>
          <w:color w:val="000000" w:themeColor="text1"/>
          <w:sz w:val="32"/>
          <w:szCs w:val="32"/>
          <w14:textFill>
            <w14:solidFill>
              <w14:schemeClr w14:val="tx1"/>
            </w14:solidFill>
          </w14:textFill>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4" w:name="OLE_LINK6"/>
      <w:r>
        <w:rPr>
          <w:rFonts w:hint="eastAsia" w:ascii="仿宋_GB2312" w:eastAsia="仿宋_GB2312"/>
          <w:color w:val="000000" w:themeColor="text1"/>
          <w:sz w:val="32"/>
          <w:szCs w:val="32"/>
          <w14:textFill>
            <w14:solidFill>
              <w14:schemeClr w14:val="tx1"/>
            </w14:solidFill>
          </w14:textFill>
        </w:rPr>
        <w:t>其他收入</w:t>
      </w:r>
      <w:bookmarkEnd w:id="14"/>
      <w:r>
        <w:rPr>
          <w:rFonts w:hint="eastAsia" w:ascii="仿宋_GB2312" w:eastAsia="仿宋_GB2312"/>
          <w:sz w:val="32"/>
          <w:szCs w:val="32"/>
        </w:rPr>
        <w:t>1.66</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0.71%</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14:textFill>
            <w14:solidFill>
              <w14:schemeClr w14:val="tx1"/>
            </w14:solidFill>
          </w14:textFill>
        </w:rPr>
        <w:t>况：本年收入年初预算数225.39万元</w:t>
      </w:r>
      <w:r>
        <w:rPr>
          <w:rFonts w:hint="eastAsia" w:ascii="仿宋_GB2312" w:eastAsia="仿宋_GB2312"/>
          <w:sz w:val="32"/>
          <w:szCs w:val="32"/>
        </w:rPr>
        <w:t>，决算数235.1万元</w:t>
      </w:r>
      <w:r>
        <w:rPr>
          <w:rFonts w:ascii="仿宋_GB2312" w:eastAsia="仿宋_GB2312"/>
          <w:sz w:val="32"/>
          <w:szCs w:val="32"/>
        </w:rPr>
        <w:t>，预决算差异率4.31%，差异主要原因是人员增加以及基本工资调标导致人员经费增加。化解以前年度的债务导致公用经费增加。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14:textFill>
            <w14:solidFill>
              <w14:schemeClr w14:val="tx1"/>
            </w14:solidFill>
          </w14:textFill>
        </w:rPr>
      </w:pPr>
      <w:bookmarkStart w:id="16" w:name="OLE_LINK7"/>
      <w:r>
        <w:rPr>
          <w:rFonts w:hint="eastAsia" w:ascii="仿宋_GB2312" w:eastAsia="仿宋_GB2312"/>
          <w:color w:val="000000" w:themeColor="text1"/>
          <w:sz w:val="32"/>
          <w:szCs w:val="32"/>
          <w14:textFill>
            <w14:solidFill>
              <w14:schemeClr w14:val="tx1"/>
            </w14:solidFill>
          </w14:textFill>
        </w:rPr>
        <w:t>本年支出合计</w:t>
      </w:r>
      <w:bookmarkEnd w:id="16"/>
      <w:r>
        <w:rPr>
          <w:rFonts w:hint="eastAsia" w:ascii="仿宋_GB2312" w:eastAsia="仿宋_GB2312"/>
          <w:sz w:val="32"/>
          <w:szCs w:val="32"/>
        </w:rPr>
        <w:t>235.1</w:t>
      </w:r>
      <w:r>
        <w:rPr>
          <w:rFonts w:hint="eastAsia" w:ascii="仿宋_GB2312" w:eastAsia="仿宋_GB2312"/>
          <w:color w:val="000000" w:themeColor="text1"/>
          <w:sz w:val="32"/>
          <w:szCs w:val="32"/>
          <w14:textFill>
            <w14:solidFill>
              <w14:schemeClr w14:val="tx1"/>
            </w14:solidFill>
          </w14:textFill>
        </w:rPr>
        <w:t>万元，其中：</w:t>
      </w:r>
      <w:bookmarkStart w:id="17" w:name="OLE_LINK8"/>
      <w:r>
        <w:rPr>
          <w:rFonts w:hint="eastAsia" w:ascii="仿宋_GB2312" w:eastAsia="仿宋_GB2312"/>
          <w:color w:val="000000" w:themeColor="text1"/>
          <w:sz w:val="32"/>
          <w:szCs w:val="32"/>
          <w14:textFill>
            <w14:solidFill>
              <w14:schemeClr w14:val="tx1"/>
            </w14:solidFill>
          </w14:textFill>
        </w:rPr>
        <w:t>基本支出</w:t>
      </w:r>
      <w:bookmarkEnd w:id="17"/>
      <w:r>
        <w:rPr>
          <w:rFonts w:hint="eastAsia" w:ascii="仿宋_GB2312" w:eastAsia="仿宋_GB2312"/>
          <w:sz w:val="32"/>
          <w:szCs w:val="32"/>
        </w:rPr>
        <w:t>235.1</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100%</w:t>
      </w:r>
      <w:r>
        <w:rPr>
          <w:rFonts w:hint="eastAsia" w:ascii="仿宋_GB2312" w:eastAsia="仿宋_GB2312"/>
          <w:color w:val="000000" w:themeColor="text1"/>
          <w:sz w:val="32"/>
          <w:szCs w:val="32"/>
          <w14:textFill>
            <w14:solidFill>
              <w14:schemeClr w14:val="tx1"/>
            </w14:solidFill>
          </w14:textFill>
        </w:rPr>
        <w:t>；</w:t>
      </w:r>
      <w:bookmarkStart w:id="18" w:name="OLE_LINK9"/>
      <w:r>
        <w:rPr>
          <w:rFonts w:hint="eastAsia" w:ascii="仿宋_GB2312" w:eastAsia="仿宋_GB2312"/>
          <w:color w:val="000000" w:themeColor="text1"/>
          <w:sz w:val="32"/>
          <w:szCs w:val="32"/>
          <w14:textFill>
            <w14:solidFill>
              <w14:schemeClr w14:val="tx1"/>
            </w14:solidFill>
          </w14:textFill>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9" w:name="OLE_LINK10"/>
      <w:r>
        <w:rPr>
          <w:rFonts w:hint="eastAsia" w:ascii="仿宋_GB2312" w:eastAsia="仿宋_GB2312"/>
          <w:color w:val="000000" w:themeColor="text1"/>
          <w:sz w:val="32"/>
          <w:szCs w:val="32"/>
          <w14:textFill>
            <w14:solidFill>
              <w14:schemeClr w14:val="tx1"/>
            </w14:solidFill>
          </w14:textFill>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20" w:name="OLE_LINK11"/>
      <w:r>
        <w:rPr>
          <w:rFonts w:hint="eastAsia" w:ascii="仿宋_GB2312" w:eastAsia="仿宋_GB2312"/>
          <w:color w:val="000000" w:themeColor="text1"/>
          <w:spacing w:val="-6"/>
          <w:sz w:val="32"/>
          <w:szCs w:val="32"/>
          <w14:textFill>
            <w14:solidFill>
              <w14:schemeClr w14:val="tx1"/>
            </w14:solidFill>
          </w14:textFill>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w:t>
      </w:r>
      <w:bookmarkStart w:id="21" w:name="OLE_LINK12"/>
      <w:r>
        <w:rPr>
          <w:rFonts w:hint="eastAsia" w:ascii="仿宋_GB2312" w:eastAsia="仿宋_GB2312"/>
          <w:color w:val="000000" w:themeColor="text1"/>
          <w:spacing w:val="-6"/>
          <w:sz w:val="32"/>
          <w:szCs w:val="32"/>
          <w14:textFill>
            <w14:solidFill>
              <w14:schemeClr w14:val="tx1"/>
            </w14:solidFill>
          </w14:textFill>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14:textFill>
            <w14:solidFill>
              <w14:schemeClr w14:val="tx1"/>
            </w14:solidFill>
          </w14:textFill>
        </w:rPr>
        <w:t>与年初预算数相比情况：本年支出年初预算数225.39万元，</w:t>
      </w:r>
      <w:r>
        <w:rPr>
          <w:rFonts w:hint="eastAsia" w:ascii="仿宋_GB2312" w:eastAsia="仿宋_GB2312"/>
          <w:sz w:val="32"/>
          <w:szCs w:val="32"/>
        </w:rPr>
        <w:t>决算数235.1万元</w:t>
      </w:r>
      <w:r>
        <w:rPr>
          <w:rFonts w:ascii="仿宋_GB2312" w:eastAsia="仿宋_GB2312"/>
          <w:sz w:val="32"/>
          <w:szCs w:val="32"/>
        </w:rPr>
        <w:t>，预决算差异率4.31%，差异主要原因是人员增加以及基本工资调标导致人员经费增加。化解以前年度的债务导致公用经费增加。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23" w:name="OLE_LINK58"/>
      <w:bookmarkStart w:id="24" w:name="OLE_LINK57"/>
      <w:r>
        <w:rPr>
          <w:rFonts w:hint="eastAsia" w:ascii="仿宋_GB2312" w:eastAsia="仿宋_GB2312"/>
          <w:color w:val="000000" w:themeColor="text1"/>
          <w:sz w:val="32"/>
          <w:szCs w:val="32"/>
          <w14:textFill>
            <w14:solidFill>
              <w14:schemeClr w14:val="tx1"/>
            </w14:solidFill>
          </w14:textFill>
        </w:rPr>
        <w:t>2018年度</w:t>
      </w:r>
      <w:bookmarkStart w:id="25" w:name="OLE_LINK13"/>
      <w:r>
        <w:rPr>
          <w:rFonts w:hint="eastAsia" w:ascii="仿宋_GB2312" w:eastAsia="仿宋_GB2312"/>
          <w:color w:val="000000" w:themeColor="text1"/>
          <w:sz w:val="32"/>
          <w:szCs w:val="32"/>
          <w14:textFill>
            <w14:solidFill>
              <w14:schemeClr w14:val="tx1"/>
            </w14:solidFill>
          </w14:textFill>
        </w:rPr>
        <w:t>财政拨款收入</w:t>
      </w:r>
      <w:bookmarkEnd w:id="25"/>
      <w:r>
        <w:rPr>
          <w:rFonts w:hint="eastAsia" w:ascii="仿宋_GB2312" w:eastAsia="仿宋_GB2312"/>
          <w:sz w:val="32"/>
          <w:szCs w:val="32"/>
        </w:rPr>
        <w:t>233.45</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，与上年相比，增加29.15万元，增长14.27%，增加的主要原因是：人员增加以及基本工资调标导致人员经费增加。化解以前年度的债务导致公用经费增加。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14:textFill>
            <w14:solidFill>
              <w14:schemeClr w14:val="tx1"/>
            </w14:solidFill>
          </w14:textFill>
        </w:rPr>
        <w:t>财政拨款支出</w:t>
      </w:r>
      <w:bookmarkEnd w:id="26"/>
      <w:r>
        <w:rPr>
          <w:rFonts w:hint="eastAsia" w:ascii="仿宋_GB2312" w:eastAsia="仿宋_GB2312"/>
          <w:sz w:val="32"/>
          <w:szCs w:val="32"/>
        </w:rPr>
        <w:t>233.45</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，与上年相比，增加29.15万元，增长14.27%，增加的主要原因是：</w:t>
      </w:r>
      <w:r>
        <w:rPr>
          <w:rFonts w:ascii="仿宋_GB2312" w:eastAsia="仿宋_GB2312"/>
          <w:sz w:val="32"/>
          <w:szCs w:val="32"/>
        </w:rPr>
        <w:t>人员增加以及基本工资调标导致人员经费增加。化解以前年度的债务导致公用经费增加。</w:t>
      </w:r>
      <w:bookmarkEnd w:id="27"/>
      <w:bookmarkEnd w:id="28"/>
      <w:bookmarkStart w:id="29" w:name="OLE_LINK61"/>
      <w:r>
        <w:rPr>
          <w:rFonts w:hint="eastAsia" w:ascii="仿宋_GB2312" w:eastAsia="仿宋_GB2312"/>
          <w:color w:val="000000" w:themeColor="text1"/>
          <w:sz w:val="32"/>
          <w:szCs w:val="32"/>
          <w14:textFill>
            <w14:solidFill>
              <w14:schemeClr w14:val="tx1"/>
            </w14:solidFill>
          </w14:textFill>
        </w:rPr>
        <w:t>其中：</w:t>
      </w:r>
      <w:bookmarkStart w:id="30" w:name="OLE_LINK15"/>
      <w:r>
        <w:rPr>
          <w:rFonts w:hint="eastAsia" w:ascii="仿宋_GB2312" w:eastAsia="仿宋_GB2312"/>
          <w:color w:val="000000" w:themeColor="text1"/>
          <w:sz w:val="32"/>
          <w:szCs w:val="32"/>
          <w14:textFill>
            <w14:solidFill>
              <w14:schemeClr w14:val="tx1"/>
            </w14:solidFill>
          </w14:textFill>
        </w:rPr>
        <w:t>基本支出</w:t>
      </w:r>
      <w:bookmarkEnd w:id="30"/>
      <w:r>
        <w:rPr>
          <w:rFonts w:hint="eastAsia" w:ascii="仿宋_GB2312" w:eastAsia="仿宋_GB2312"/>
          <w:sz w:val="32"/>
          <w:szCs w:val="32"/>
        </w:rPr>
        <w:t>233.45</w:t>
      </w:r>
      <w:r>
        <w:rPr>
          <w:rFonts w:hint="eastAsia" w:ascii="仿宋_GB2312" w:eastAsia="仿宋_GB2312"/>
          <w:color w:val="000000" w:themeColor="text1"/>
          <w:sz w:val="32"/>
          <w:szCs w:val="32"/>
          <w14:textFill>
            <w14:solidFill>
              <w14:schemeClr w14:val="tx1"/>
            </w14:solidFill>
          </w14:textFill>
        </w:rPr>
        <w:t>万元，项目支出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31" w:name="OLE_LINK16"/>
      <w:r>
        <w:rPr>
          <w:rFonts w:hint="eastAsia" w:ascii="仿宋_GB2312" w:eastAsia="仿宋_GB2312"/>
          <w:color w:val="000000" w:themeColor="text1"/>
          <w:sz w:val="32"/>
          <w:szCs w:val="32"/>
          <w14:textFill>
            <w14:solidFill>
              <w14:schemeClr w14:val="tx1"/>
            </w14:solidFill>
          </w14:textFill>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主要原因是：资金使用到位，无结余。</w:t>
      </w:r>
      <w:bookmarkEnd w:id="29"/>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2" w:name="OLE_LINK62"/>
      <w:r>
        <w:rPr>
          <w:rFonts w:hint="eastAsia" w:ascii="仿宋_GB2312" w:eastAsia="仿宋_GB2312"/>
          <w:color w:val="000000" w:themeColor="text1"/>
          <w:sz w:val="32"/>
          <w:szCs w:val="32"/>
          <w14:textFill>
            <w14:solidFill>
              <w14:schemeClr w14:val="tx1"/>
            </w14:solidFill>
          </w14:textFill>
        </w:rPr>
        <w:t>与年初预算数相比情况：财政拨款收入年初预算数</w:t>
      </w:r>
      <w:r>
        <w:rPr>
          <w:rFonts w:ascii="仿宋_GB2312" w:eastAsia="仿宋_GB2312"/>
          <w:color w:val="000000" w:themeColor="text1"/>
          <w:sz w:val="32"/>
          <w:szCs w:val="32"/>
          <w14:textFill>
            <w14:solidFill>
              <w14:schemeClr w14:val="tx1"/>
            </w14:solidFill>
          </w14:textFill>
        </w:rPr>
        <w:t>225.39</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233.45</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，预决算差异率3.58%，差异主要原因是人员增加以及基本工资调标导致人员经费增加。化解以前年度的债务导致公用经费增加。</w:t>
      </w:r>
      <w:bookmarkEnd w:id="32"/>
      <w:bookmarkStart w:id="33" w:name="OLE_LINK63"/>
      <w:r>
        <w:rPr>
          <w:rFonts w:hint="eastAsia" w:ascii="仿宋_GB2312" w:eastAsia="仿宋_GB2312"/>
          <w:color w:val="000000" w:themeColor="text1"/>
          <w:sz w:val="32"/>
          <w:szCs w:val="32"/>
          <w14:textFill>
            <w14:solidFill>
              <w14:schemeClr w14:val="tx1"/>
            </w14:solidFill>
          </w14:textFill>
        </w:rPr>
        <w:t>财政拨款支出年初预算数</w:t>
      </w:r>
      <w:r>
        <w:rPr>
          <w:rFonts w:ascii="仿宋_GB2312" w:eastAsia="仿宋_GB2312"/>
          <w:color w:val="000000" w:themeColor="text1"/>
          <w:sz w:val="32"/>
          <w:szCs w:val="32"/>
          <w14:textFill>
            <w14:solidFill>
              <w14:schemeClr w14:val="tx1"/>
            </w14:solidFill>
          </w14:textFill>
        </w:rPr>
        <w:t>225.39</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233.45</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，预决算差异率3.58%，差异主要原因是人员增加以及基本工资调标导致人员经费增加。化解以前年度的债务导致公用经费增加。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4" w:name="OLE_LINK64"/>
      <w:r>
        <w:rPr>
          <w:rFonts w:hint="eastAsia" w:ascii="仿宋_GB2312" w:eastAsia="仿宋_GB2312"/>
          <w:color w:val="000000" w:themeColor="text1"/>
          <w:sz w:val="32"/>
          <w:szCs w:val="32"/>
          <w14:textFill>
            <w14:solidFill>
              <w14:schemeClr w14:val="tx1"/>
            </w14:solidFill>
          </w14:textFill>
        </w:rPr>
        <w:t>2018年度</w:t>
      </w:r>
      <w:bookmarkStart w:id="35" w:name="OLE_LINK17"/>
      <w:r>
        <w:rPr>
          <w:rFonts w:hint="eastAsia" w:ascii="仿宋_GB2312" w:eastAsia="仿宋_GB2312"/>
          <w:color w:val="000000" w:themeColor="text1"/>
          <w:sz w:val="32"/>
          <w:szCs w:val="32"/>
          <w14:textFill>
            <w14:solidFill>
              <w14:schemeClr w14:val="tx1"/>
            </w14:solidFill>
          </w14:textFill>
        </w:rPr>
        <w:t>一般公共预算财政拨款收入</w:t>
      </w:r>
      <w:bookmarkEnd w:id="35"/>
      <w:r>
        <w:rPr>
          <w:rFonts w:ascii="仿宋_GB2312" w:eastAsia="仿宋_GB2312"/>
          <w:color w:val="000000" w:themeColor="text1"/>
          <w:sz w:val="32"/>
          <w:szCs w:val="32"/>
          <w14:textFill>
            <w14:solidFill>
              <w14:schemeClr w14:val="tx1"/>
            </w14:solidFill>
          </w14:textFill>
        </w:rPr>
        <w:t>233.45</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，与上年相比，增加29.15万元，增长14.27%，增加的主要原因是：人员增加以及基本工资调标导致人员经费增加。化解以前年度的债务导致公用经费增加。</w:t>
      </w:r>
      <w:bookmarkEnd w:id="34"/>
      <w:bookmarkStart w:id="36" w:name="OLE_LINK18"/>
      <w:bookmarkStart w:id="37" w:name="OLE_LINK65"/>
      <w:r>
        <w:rPr>
          <w:rFonts w:hint="eastAsia" w:ascii="仿宋_GB2312" w:eastAsia="仿宋_GB2312"/>
          <w:color w:val="000000" w:themeColor="text1"/>
          <w:sz w:val="32"/>
          <w:szCs w:val="32"/>
          <w14:textFill>
            <w14:solidFill>
              <w14:schemeClr w14:val="tx1"/>
            </w14:solidFill>
          </w14:textFill>
        </w:rPr>
        <w:t>一般公共预算财政拨款支出</w:t>
      </w:r>
      <w:r>
        <w:rPr>
          <w:rFonts w:hint="eastAsia" w:ascii="仿宋_GB2312" w:eastAsia="仿宋_GB2312"/>
          <w:sz w:val="32"/>
          <w:szCs w:val="32"/>
        </w:rPr>
        <w:t>233.45</w:t>
      </w:r>
      <w:r>
        <w:rPr>
          <w:rFonts w:hint="eastAsia" w:ascii="仿宋_GB2312" w:eastAsia="仿宋_GB2312"/>
          <w:color w:val="000000" w:themeColor="text1"/>
          <w:sz w:val="32"/>
          <w:szCs w:val="32"/>
          <w14:textFill>
            <w14:solidFill>
              <w14:schemeClr w14:val="tx1"/>
            </w14:solidFill>
          </w14:textFill>
        </w:rPr>
        <w:t>万元</w:t>
      </w:r>
      <w:bookmarkEnd w:id="36"/>
      <w:r>
        <w:rPr>
          <w:rFonts w:hint="eastAsia" w:ascii="仿宋_GB2312" w:eastAsia="仿宋_GB2312"/>
          <w:sz w:val="32"/>
          <w:szCs w:val="32"/>
        </w:rPr>
        <w:t>，与上年相比，增加29.15万元，增长14.27%，增加的主要原因是：人员增加以及基本工资调标导致人员经费增加。化解以前年度的债务导致公用经费增加。</w:t>
      </w:r>
      <w:bookmarkEnd w:id="37"/>
      <w:r>
        <w:rPr>
          <w:rFonts w:hint="eastAsia" w:ascii="仿宋_GB2312" w:eastAsia="仿宋_GB2312"/>
          <w:color w:val="000000" w:themeColor="text1"/>
          <w:sz w:val="32"/>
          <w:szCs w:val="32"/>
          <w14:textFill>
            <w14:solidFill>
              <w14:schemeClr w14:val="tx1"/>
            </w14:solidFill>
          </w14:textFill>
        </w:rPr>
        <w:t>其中：</w:t>
      </w:r>
      <w:bookmarkStart w:id="38" w:name="OLE_LINK19"/>
      <w:r>
        <w:rPr>
          <w:rFonts w:hint="eastAsia" w:ascii="仿宋_GB2312" w:eastAsia="仿宋_GB2312"/>
          <w:color w:val="000000" w:themeColor="text1"/>
          <w:sz w:val="32"/>
          <w:szCs w:val="32"/>
          <w14:textFill>
            <w14:solidFill>
              <w14:schemeClr w14:val="tx1"/>
            </w14:solidFill>
          </w14:textFill>
        </w:rPr>
        <w:t>按功能分类科目（按类级科目公开）</w:t>
      </w:r>
      <w:bookmarkEnd w:id="38"/>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教育支出211.21万元,社会保障和就业支出22.24万元。</w:t>
      </w:r>
      <w:bookmarkStart w:id="39" w:name="OLE_LINK20"/>
      <w:bookmarkStart w:id="40" w:name="OLE_LINK21"/>
      <w:r>
        <w:rPr>
          <w:rFonts w:hint="eastAsia" w:ascii="仿宋_GB2312" w:eastAsia="仿宋_GB2312"/>
          <w:color w:val="000000" w:themeColor="text1"/>
          <w:sz w:val="32"/>
          <w:szCs w:val="32"/>
          <w14:textFill>
            <w14:solidFill>
              <w14:schemeClr w14:val="tx1"/>
            </w14:solidFill>
          </w14:textFill>
        </w:rPr>
        <w:t>按经济分类科目</w:t>
      </w:r>
      <w:bookmarkEnd w:id="39"/>
      <w:r>
        <w:rPr>
          <w:rFonts w:hint="eastAsia" w:ascii="仿宋_GB2312" w:eastAsia="仿宋_GB2312"/>
          <w:color w:val="000000" w:themeColor="text1"/>
          <w:sz w:val="32"/>
          <w:szCs w:val="32"/>
          <w14:textFill>
            <w14:solidFill>
              <w14:schemeClr w14:val="tx1"/>
            </w14:solidFill>
          </w14:textFill>
        </w:rPr>
        <w:t>（按类级科目公开）</w:t>
      </w:r>
      <w:bookmarkEnd w:id="40"/>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工资福利支出201.61万元,商品和服务支出23.38万元,对个人和家庭的补助8.46万元。</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1" w:name="OLE_LINK66"/>
      <w:bookmarkStart w:id="42" w:name="OLE_LINK67"/>
      <w:r>
        <w:rPr>
          <w:rFonts w:hint="eastAsia" w:ascii="仿宋_GB2312" w:eastAsia="仿宋_GB2312"/>
          <w:color w:val="000000" w:themeColor="text1"/>
          <w:sz w:val="32"/>
          <w:szCs w:val="32"/>
          <w14:textFill>
            <w14:solidFill>
              <w14:schemeClr w14:val="tx1"/>
            </w14:solidFill>
          </w14:textFill>
        </w:rPr>
        <w:t>与年初预算数相比情况：一般公共预算财政拨款收入年初预算数</w:t>
      </w:r>
      <w:r>
        <w:rPr>
          <w:rFonts w:ascii="仿宋_GB2312" w:eastAsia="仿宋_GB2312"/>
          <w:color w:val="000000" w:themeColor="text1"/>
          <w:sz w:val="32"/>
          <w:szCs w:val="32"/>
          <w14:textFill>
            <w14:solidFill>
              <w14:schemeClr w14:val="tx1"/>
            </w14:solidFill>
          </w14:textFill>
        </w:rPr>
        <w:t>225.39</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233.45</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，预决算差异率3.58%，差异主要原因是人员增加以及基本工资调标导致人员经费增加。化解以前年度的债务导致公用经费增加。</w:t>
      </w:r>
      <w:bookmarkEnd w:id="41"/>
      <w:bookmarkEnd w:id="42"/>
      <w:bookmarkStart w:id="43" w:name="OLE_LINK68"/>
      <w:r>
        <w:rPr>
          <w:rFonts w:hint="eastAsia" w:ascii="仿宋_GB2312" w:eastAsia="仿宋_GB2312"/>
          <w:color w:val="000000" w:themeColor="text1"/>
          <w:sz w:val="32"/>
          <w:szCs w:val="32"/>
          <w14:textFill>
            <w14:solidFill>
              <w14:schemeClr w14:val="tx1"/>
            </w14:solidFill>
          </w14:textFill>
        </w:rPr>
        <w:t>一般公共预算财政拨款支出年初预算数</w:t>
      </w:r>
      <w:r>
        <w:rPr>
          <w:rFonts w:ascii="仿宋_GB2312" w:eastAsia="仿宋_GB2312"/>
          <w:color w:val="000000" w:themeColor="text1"/>
          <w:sz w:val="32"/>
          <w:szCs w:val="32"/>
          <w14:textFill>
            <w14:solidFill>
              <w14:schemeClr w14:val="tx1"/>
            </w14:solidFill>
          </w14:textFill>
        </w:rPr>
        <w:t>225.39</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233.45</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，预决算差异率3.58%，差异主要原因是人员增加以及基本工资调标导致人员经费增加。化解以前年度的债务导致公用经费增加。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4" w:name="OLE_LINK69"/>
      <w:r>
        <w:rPr>
          <w:rFonts w:hint="eastAsia" w:ascii="仿宋_GB2312" w:eastAsia="仿宋_GB2312"/>
          <w:color w:val="000000" w:themeColor="text1"/>
          <w:sz w:val="32"/>
          <w:szCs w:val="32"/>
          <w14:textFill>
            <w14:solidFill>
              <w14:schemeClr w14:val="tx1"/>
            </w14:solidFill>
          </w14:textFill>
        </w:rPr>
        <w:t>2018年度</w:t>
      </w:r>
      <w:bookmarkStart w:id="45" w:name="OLE_LINK22"/>
      <w:r>
        <w:rPr>
          <w:rFonts w:hint="eastAsia" w:ascii="仿宋_GB2312" w:eastAsia="仿宋_GB2312"/>
          <w:color w:val="000000" w:themeColor="text1"/>
          <w:sz w:val="32"/>
          <w:szCs w:val="32"/>
          <w14:textFill>
            <w14:solidFill>
              <w14:schemeClr w14:val="tx1"/>
            </w14:solidFill>
          </w14:textFill>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主要原因是：本单位无此项预算安排。</w:t>
      </w:r>
      <w:bookmarkEnd w:id="44"/>
      <w:bookmarkStart w:id="46" w:name="OLE_LINK23"/>
      <w:bookmarkStart w:id="47" w:name="OLE_LINK70"/>
      <w:r>
        <w:rPr>
          <w:rFonts w:hint="eastAsia" w:ascii="仿宋_GB2312" w:eastAsia="仿宋_GB2312"/>
          <w:color w:val="000000" w:themeColor="text1"/>
          <w:sz w:val="32"/>
          <w:szCs w:val="32"/>
          <w14:textFill>
            <w14:solidFill>
              <w14:schemeClr w14:val="tx1"/>
            </w14:solidFill>
          </w14:textFill>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主要原因是：无政府性基金收支。</w:t>
      </w:r>
      <w:bookmarkEnd w:id="47"/>
      <w:r>
        <w:rPr>
          <w:rFonts w:hint="eastAsia" w:ascii="仿宋_GB2312" w:eastAsia="仿宋_GB2312"/>
          <w:color w:val="000000" w:themeColor="text1"/>
          <w:sz w:val="32"/>
          <w:szCs w:val="32"/>
          <w14:textFill>
            <w14:solidFill>
              <w14:schemeClr w14:val="tx1"/>
            </w14:solidFill>
          </w14:textFill>
        </w:rPr>
        <w:t>其中：</w:t>
      </w:r>
      <w:bookmarkStart w:id="48" w:name="OLE_LINK24"/>
      <w:r>
        <w:rPr>
          <w:rFonts w:hint="eastAsia" w:ascii="仿宋_GB2312" w:eastAsia="仿宋_GB2312"/>
          <w:color w:val="000000" w:themeColor="text1"/>
          <w:sz w:val="32"/>
          <w:szCs w:val="32"/>
          <w14:textFill>
            <w14:solidFill>
              <w14:schemeClr w14:val="tx1"/>
            </w14:solidFill>
          </w14:textFill>
        </w:rPr>
        <w:t>按功能分类科目（按类级科目公开）</w:t>
      </w:r>
      <w:bookmarkEnd w:id="48"/>
      <w:r>
        <w:rPr>
          <w:rFonts w:hint="eastAsia" w:ascii="仿宋_GB2312" w:eastAsia="仿宋_GB2312"/>
          <w:color w:val="000000" w:themeColor="text1"/>
          <w:sz w:val="32"/>
          <w:szCs w:val="32"/>
          <w14:textFill>
            <w14:solidFill>
              <w14:schemeClr w14:val="tx1"/>
            </w14:solidFill>
          </w14:textFill>
        </w:rPr>
        <w:t>，无政府性基金收支。按经济分类科目（按类级科目公开），无政府性基金收支。</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9" w:name="OLE_LINK72"/>
      <w:bookmarkStart w:id="50" w:name="OLE_LINK71"/>
      <w:r>
        <w:rPr>
          <w:rFonts w:hint="eastAsia" w:ascii="仿宋_GB2312" w:eastAsia="仿宋_GB2312"/>
          <w:color w:val="000000" w:themeColor="text1"/>
          <w:sz w:val="32"/>
          <w:szCs w:val="32"/>
          <w14:textFill>
            <w14:solidFill>
              <w14:schemeClr w14:val="tx1"/>
            </w14:solidFill>
          </w14:textFill>
        </w:rPr>
        <w:t>与年初预算数相比情况：政府性基金预算财政拨款收入年初预算数0万元，决算数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w:t>
      </w:r>
      <w:r>
        <w:rPr>
          <w:rFonts w:hint="eastAsia" w:ascii="仿宋_GB2312" w:eastAsia="仿宋_GB2312"/>
          <w:color w:val="000000" w:themeColor="text1"/>
          <w:sz w:val="32"/>
          <w:szCs w:val="32"/>
          <w14:textFill>
            <w14:solidFill>
              <w14:schemeClr w14:val="tx1"/>
            </w14:solidFill>
          </w14:textFill>
        </w:rPr>
        <w:t>无政府性基金收支</w:t>
      </w:r>
      <w:r>
        <w:rPr>
          <w:rFonts w:ascii="仿宋_GB2312" w:eastAsia="仿宋_GB2312"/>
          <w:color w:val="000000" w:themeColor="text1"/>
          <w:sz w:val="32"/>
          <w:szCs w:val="32"/>
          <w14:textFill>
            <w14:solidFill>
              <w14:schemeClr w14:val="tx1"/>
            </w14:solidFill>
          </w14:textFill>
        </w:rPr>
        <w:t>。</w:t>
      </w:r>
      <w:bookmarkEnd w:id="49"/>
      <w:bookmarkEnd w:id="50"/>
      <w:bookmarkStart w:id="51" w:name="OLE_LINK73"/>
      <w:r>
        <w:rPr>
          <w:rFonts w:hint="eastAsia" w:ascii="仿宋_GB2312" w:eastAsia="仿宋_GB2312"/>
          <w:color w:val="000000" w:themeColor="text1"/>
          <w:sz w:val="32"/>
          <w:szCs w:val="32"/>
          <w14:textFill>
            <w14:solidFill>
              <w14:schemeClr w14:val="tx1"/>
            </w14:solidFill>
          </w14:textFill>
        </w:rPr>
        <w:t>政府性基金预算财政拨款支出年初预算数0万元，决算数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w:t>
      </w:r>
      <w:r>
        <w:rPr>
          <w:rFonts w:hint="eastAsia" w:ascii="仿宋_GB2312" w:eastAsia="仿宋_GB2312"/>
          <w:color w:val="000000" w:themeColor="text1"/>
          <w:sz w:val="32"/>
          <w:szCs w:val="32"/>
          <w14:textFill>
            <w14:solidFill>
              <w14:schemeClr w14:val="tx1"/>
            </w14:solidFill>
          </w14:textFill>
        </w:rPr>
        <w:t>无政府性基金收支</w:t>
      </w:r>
      <w:r>
        <w:rPr>
          <w:rFonts w:ascii="仿宋_GB2312" w:eastAsia="仿宋_GB2312"/>
          <w:color w:val="000000" w:themeColor="text1"/>
          <w:sz w:val="32"/>
          <w:szCs w:val="32"/>
          <w14:textFill>
            <w14:solidFill>
              <w14:schemeClr w14:val="tx1"/>
            </w14:solidFill>
          </w14:textFill>
        </w:rPr>
        <w:t>。</w:t>
      </w:r>
      <w:bookmarkEnd w:id="51"/>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三、部门结转结余情况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2" w:name="OLE_LINK26"/>
      <w:bookmarkStart w:id="53" w:name="OLE_LINK25"/>
      <w:r>
        <w:rPr>
          <w:rFonts w:hint="eastAsia" w:ascii="仿宋_GB2312" w:eastAsia="仿宋_GB2312"/>
          <w:color w:val="000000" w:themeColor="text1"/>
          <w:sz w:val="32"/>
          <w:szCs w:val="32"/>
          <w14:textFill>
            <w14:solidFill>
              <w14:schemeClr w14:val="tx1"/>
            </w14:solidFill>
          </w14:textFill>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其中</w:t>
      </w:r>
      <w:bookmarkStart w:id="54" w:name="OLE_LINK27"/>
      <w:bookmarkStart w:id="55" w:name="OLE_LINK28"/>
      <w:r>
        <w:rPr>
          <w:rFonts w:hint="eastAsia" w:ascii="仿宋_GB2312" w:eastAsia="仿宋_GB2312"/>
          <w:color w:val="000000" w:themeColor="text1"/>
          <w:sz w:val="32"/>
          <w:szCs w:val="32"/>
          <w14:textFill>
            <w14:solidFill>
              <w14:schemeClr w14:val="tx1"/>
            </w14:solidFill>
          </w14:textFill>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6" w:name="OLE_LINK74"/>
      <w:r>
        <w:rPr>
          <w:rFonts w:hint="eastAsia" w:ascii="仿宋_GB2312" w:eastAsia="仿宋_GB2312"/>
          <w:color w:val="000000" w:themeColor="text1"/>
          <w:sz w:val="32"/>
          <w:szCs w:val="32"/>
          <w14:textFill>
            <w14:solidFill>
              <w14:schemeClr w14:val="tx1"/>
            </w14:solidFill>
          </w14:textFill>
        </w:rPr>
        <w:t>2018年度</w:t>
      </w:r>
      <w:bookmarkStart w:id="57" w:name="OLE_LINK29"/>
      <w:r>
        <w:rPr>
          <w:rFonts w:hint="eastAsia" w:ascii="仿宋_GB2312" w:eastAsia="仿宋_GB2312"/>
          <w:color w:val="000000" w:themeColor="text1"/>
          <w:sz w:val="32"/>
          <w:szCs w:val="32"/>
          <w14:textFill>
            <w14:solidFill>
              <w14:schemeClr w14:val="tx1"/>
            </w14:solidFill>
          </w14:textFill>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%，主要原因是：本单位无此项预算安排。</w:t>
      </w:r>
      <w:bookmarkEnd w:id="56"/>
      <w:bookmarkStart w:id="58" w:name="OLE_LINK75"/>
      <w:r>
        <w:rPr>
          <w:rFonts w:hint="eastAsia" w:ascii="仿宋_GB2312" w:eastAsia="仿宋_GB2312"/>
          <w:color w:val="000000" w:themeColor="text1"/>
          <w:sz w:val="32"/>
          <w:szCs w:val="32"/>
          <w14:textFill>
            <w14:solidFill>
              <w14:schemeClr w14:val="tx1"/>
            </w14:solidFill>
          </w14:textFill>
        </w:rPr>
        <w:t>其中，</w:t>
      </w:r>
      <w:bookmarkStart w:id="59" w:name="OLE_LINK30"/>
      <w:r>
        <w:rPr>
          <w:rFonts w:hint="eastAsia" w:ascii="仿宋_GB2312" w:eastAsia="仿宋_GB2312"/>
          <w:color w:val="000000" w:themeColor="text1"/>
          <w:sz w:val="32"/>
          <w:szCs w:val="32"/>
          <w14:textFill>
            <w14:solidFill>
              <w14:schemeClr w14:val="tx1"/>
            </w14:solidFill>
          </w14:textFill>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主要原因是：本单位无此项预算安排；</w:t>
      </w:r>
      <w:bookmarkEnd w:id="58"/>
      <w:bookmarkStart w:id="60" w:name="OLE_LINK31"/>
      <w:bookmarkStart w:id="61" w:name="OLE_LINK76"/>
      <w:r>
        <w:rPr>
          <w:rFonts w:hint="eastAsia" w:ascii="仿宋_GB2312" w:eastAsia="仿宋_GB2312"/>
          <w:color w:val="000000" w:themeColor="text1"/>
          <w:sz w:val="32"/>
          <w:szCs w:val="32"/>
          <w14:textFill>
            <w14:solidFill>
              <w14:schemeClr w14:val="tx1"/>
            </w14:solidFill>
          </w14:textFill>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主要原因是：本单位无此项预算安排；</w:t>
      </w:r>
      <w:bookmarkEnd w:id="61"/>
      <w:bookmarkStart w:id="62" w:name="OLE_LINK32"/>
      <w:bookmarkStart w:id="63" w:name="OLE_LINK78"/>
      <w:bookmarkStart w:id="64" w:name="OLE_LINK77"/>
      <w:r>
        <w:rPr>
          <w:rFonts w:hint="eastAsia" w:ascii="仿宋_GB2312" w:eastAsia="仿宋_GB2312"/>
          <w:color w:val="000000" w:themeColor="text1"/>
          <w:sz w:val="32"/>
          <w:szCs w:val="32"/>
          <w14:textFill>
            <w14:solidFill>
              <w14:schemeClr w14:val="tx1"/>
            </w14:solidFill>
          </w14:textFill>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主要原因是：本单位无此项预算安排。</w:t>
      </w:r>
      <w:bookmarkEnd w:id="63"/>
      <w:bookmarkEnd w:id="64"/>
      <w:r>
        <w:rPr>
          <w:rFonts w:hint="eastAsia" w:ascii="仿宋_GB2312" w:eastAsia="仿宋_GB2312"/>
          <w:color w:val="000000" w:themeColor="text1"/>
          <w:sz w:val="32"/>
          <w:szCs w:val="32"/>
          <w14:textFill>
            <w14:solidFill>
              <w14:schemeClr w14:val="tx1"/>
            </w14:solidFill>
          </w14:textFill>
        </w:rPr>
        <w:t>具体情况如下：</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65" w:name="OLE_LINK79"/>
      <w:bookmarkStart w:id="66" w:name="OLE_LINK80"/>
      <w:r>
        <w:rPr>
          <w:rFonts w:hint="eastAsia" w:ascii="仿宋_GB2312" w:eastAsia="仿宋_GB2312"/>
          <w:color w:val="000000" w:themeColor="text1"/>
          <w:sz w:val="32"/>
          <w:szCs w:val="32"/>
          <w14:textFill>
            <w14:solidFill>
              <w14:schemeClr w14:val="tx1"/>
            </w14:solidFill>
          </w14:textFill>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新疆喀什地区中共英吉沙县委党校</w:t>
      </w:r>
      <w:r>
        <w:rPr>
          <w:rFonts w:hint="eastAsia" w:ascii="仿宋_GB2312" w:eastAsia="仿宋_GB2312"/>
          <w:color w:val="000000" w:themeColor="text1"/>
          <w:sz w:val="32"/>
          <w:szCs w:val="32"/>
          <w14:textFill>
            <w14:solidFill>
              <w14:schemeClr w14:val="tx1"/>
            </w14:solidFill>
          </w14:textFill>
        </w:rPr>
        <w:t>单位</w:t>
      </w:r>
      <w:bookmarkStart w:id="67" w:name="OLE_LINK33"/>
      <w:r>
        <w:rPr>
          <w:rFonts w:hint="eastAsia" w:ascii="仿宋_GB2312" w:eastAsia="仿宋_GB2312"/>
          <w:color w:val="000000" w:themeColor="text1"/>
          <w:sz w:val="32"/>
          <w:szCs w:val="32"/>
          <w14:textFill>
            <w14:solidFill>
              <w14:schemeClr w14:val="tx1"/>
            </w14:solidFill>
          </w14:textFill>
        </w:rPr>
        <w:t>全年</w:t>
      </w:r>
      <w:bookmarkStart w:id="68" w:name="OLE_LINK35"/>
      <w:bookmarkStart w:id="69" w:name="OLE_LINK34"/>
      <w:bookmarkStart w:id="70" w:name="OLE_LINK36"/>
      <w:r>
        <w:rPr>
          <w:rFonts w:hint="eastAsia" w:ascii="仿宋_GB2312" w:eastAsia="仿宋_GB2312"/>
          <w:color w:val="000000" w:themeColor="text1"/>
          <w:sz w:val="32"/>
          <w:szCs w:val="32"/>
          <w14:textFill>
            <w14:solidFill>
              <w14:schemeClr w14:val="tx1"/>
            </w14:solidFill>
          </w14:textFill>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个</w:t>
      </w:r>
      <w:bookmarkEnd w:id="70"/>
      <w:r>
        <w:rPr>
          <w:rFonts w:hint="eastAsia" w:ascii="仿宋_GB2312" w:eastAsia="仿宋_GB2312"/>
          <w:color w:val="000000" w:themeColor="text1"/>
          <w:sz w:val="32"/>
          <w:szCs w:val="32"/>
          <w14:textFill>
            <w14:solidFill>
              <w14:schemeClr w14:val="tx1"/>
            </w14:solidFill>
          </w14:textFill>
        </w:rPr>
        <w:t>，</w:t>
      </w:r>
      <w:bookmarkStart w:id="71" w:name="OLE_LINK37"/>
      <w:r>
        <w:rPr>
          <w:rFonts w:hint="eastAsia" w:ascii="仿宋_GB2312" w:eastAsia="仿宋_GB2312"/>
          <w:color w:val="000000" w:themeColor="text1"/>
          <w:sz w:val="32"/>
          <w:szCs w:val="32"/>
          <w14:textFill>
            <w14:solidFill>
              <w14:schemeClr w14:val="tx1"/>
            </w14:solidFill>
          </w14:textFill>
        </w:rPr>
        <w:t>累计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1"/>
      <w:r>
        <w:rPr>
          <w:rFonts w:hint="eastAsia" w:ascii="仿宋_GB2312" w:eastAsia="仿宋_GB2312"/>
          <w:color w:val="000000" w:themeColor="text1"/>
          <w:sz w:val="32"/>
          <w:szCs w:val="32"/>
          <w14:textFill>
            <w14:solidFill>
              <w14:schemeClr w14:val="tx1"/>
            </w14:solidFill>
          </w14:textFill>
        </w:rPr>
        <w:t>。</w:t>
      </w:r>
      <w:bookmarkStart w:id="72" w:name="OLE_LINK38"/>
      <w:r>
        <w:rPr>
          <w:rFonts w:hint="eastAsia" w:ascii="仿宋_GB2312" w:eastAsia="仿宋_GB2312"/>
          <w:color w:val="000000" w:themeColor="text1"/>
          <w:sz w:val="32"/>
          <w:szCs w:val="32"/>
          <w14:textFill>
            <w14:solidFill>
              <w14:schemeClr w14:val="tx1"/>
            </w14:solidFill>
          </w14:textFill>
        </w:rPr>
        <w:t>开支内容包括：</w:t>
      </w:r>
      <w:r>
        <w:rPr>
          <w:rFonts w:ascii="仿宋_GB2312" w:eastAsia="仿宋_GB2312"/>
          <w:color w:val="000000" w:themeColor="text1"/>
          <w:sz w:val="32"/>
          <w:szCs w:val="32"/>
          <w14:textFill>
            <w14:solidFill>
              <w14:schemeClr w14:val="tx1"/>
            </w14:solidFill>
          </w14:textFill>
        </w:rPr>
        <w:t>本单位无此项预算安排。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3" w:name="OLE_LINK81"/>
      <w:r>
        <w:rPr>
          <w:rFonts w:hint="eastAsia" w:ascii="仿宋_GB2312" w:eastAsia="仿宋_GB2312"/>
          <w:color w:val="000000" w:themeColor="text1"/>
          <w:sz w:val="32"/>
          <w:szCs w:val="32"/>
          <w14:textFill>
            <w14:solidFill>
              <w14:schemeClr w14:val="tx1"/>
            </w14:solidFill>
          </w14:textFill>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万元,其中，</w:t>
      </w:r>
      <w:bookmarkStart w:id="74" w:name="OLE_LINK39"/>
      <w:r>
        <w:rPr>
          <w:rFonts w:hint="eastAsia" w:ascii="仿宋_GB2312" w:eastAsia="仿宋_GB2312"/>
          <w:color w:val="000000" w:themeColor="text1"/>
          <w:sz w:val="32"/>
          <w:szCs w:val="32"/>
          <w14:textFill>
            <w14:solidFill>
              <w14:schemeClr w14:val="tx1"/>
            </w14:solidFill>
          </w14:textFill>
        </w:rPr>
        <w:t>公务用车购置</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End w:id="74"/>
      <w:r>
        <w:rPr>
          <w:rFonts w:hint="eastAsia" w:ascii="仿宋_GB2312" w:eastAsia="仿宋_GB2312"/>
          <w:color w:val="000000" w:themeColor="text1"/>
          <w:sz w:val="32"/>
          <w:szCs w:val="32"/>
          <w14:textFill>
            <w14:solidFill>
              <w14:schemeClr w14:val="tx1"/>
            </w14:solidFill>
          </w14:textFill>
        </w:rPr>
        <w:t>，</w:t>
      </w:r>
      <w:bookmarkStart w:id="75" w:name="OLE_LINK40"/>
      <w:bookmarkStart w:id="76" w:name="OLE_LINK41"/>
      <w:r>
        <w:rPr>
          <w:rFonts w:hint="eastAsia" w:ascii="仿宋_GB2312" w:eastAsia="仿宋_GB2312"/>
          <w:color w:val="000000" w:themeColor="text1"/>
          <w:sz w:val="32"/>
          <w:szCs w:val="32"/>
          <w14:textFill>
            <w14:solidFill>
              <w14:schemeClr w14:val="tx1"/>
            </w14:solidFill>
          </w14:textFill>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End w:id="75"/>
      <w:bookmarkEnd w:id="76"/>
      <w:r>
        <w:rPr>
          <w:rFonts w:hint="eastAsia" w:ascii="仿宋_GB2312" w:eastAsia="仿宋_GB2312"/>
          <w:color w:val="000000" w:themeColor="text1"/>
          <w:sz w:val="32"/>
          <w:szCs w:val="32"/>
          <w14:textFill>
            <w14:solidFill>
              <w14:schemeClr w14:val="tx1"/>
            </w14:solidFill>
          </w14:textFill>
        </w:rPr>
        <w:t>。主要用于</w:t>
      </w:r>
      <w:r>
        <w:rPr>
          <w:rFonts w:hint="eastAsia" w:ascii="仿宋_GB2312" w:eastAsia="仿宋_GB2312"/>
          <w:sz w:val="32"/>
          <w:szCs w:val="32"/>
        </w:rPr>
        <w:t>本单位无此项预算安排</w:t>
      </w:r>
      <w:r>
        <w:rPr>
          <w:rFonts w:hint="eastAsia" w:ascii="仿宋_GB2312" w:eastAsia="仿宋_GB2312"/>
          <w:color w:val="000000" w:themeColor="text1"/>
          <w:sz w:val="32"/>
          <w:szCs w:val="32"/>
          <w14:textFill>
            <w14:solidFill>
              <w14:schemeClr w14:val="tx1"/>
            </w14:solidFill>
          </w14:textFill>
        </w:rPr>
        <w:t>等。</w:t>
      </w:r>
      <w:bookmarkEnd w:id="73"/>
      <w:bookmarkStart w:id="77" w:name="OLE_LINK82"/>
      <w:r>
        <w:rPr>
          <w:rFonts w:hint="eastAsia" w:ascii="仿宋_GB2312" w:eastAsia="仿宋_GB2312"/>
          <w:color w:val="000000" w:themeColor="text1"/>
          <w:sz w:val="32"/>
          <w:szCs w:val="32"/>
          <w14:textFill>
            <w14:solidFill>
              <w14:schemeClr w14:val="tx1"/>
            </w14:solidFill>
          </w14:textFill>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辆，保有量为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w:t>
      </w:r>
      <w:bookmarkEnd w:id="77"/>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8" w:name="OLE_LINK83"/>
      <w:r>
        <w:rPr>
          <w:rFonts w:hint="eastAsia" w:ascii="仿宋_GB2312" w:eastAsia="仿宋_GB2312"/>
          <w:color w:val="000000" w:themeColor="text1"/>
          <w:sz w:val="32"/>
          <w:szCs w:val="32"/>
          <w14:textFill>
            <w14:solidFill>
              <w14:schemeClr w14:val="tx1"/>
            </w14:solidFill>
          </w14:textFill>
        </w:rPr>
        <w:t>公务接待费</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万元，主要是</w:t>
      </w:r>
      <w:r>
        <w:rPr>
          <w:rFonts w:hint="eastAsia" w:ascii="仿宋_GB2312" w:eastAsia="仿宋_GB2312"/>
          <w:sz w:val="32"/>
          <w:szCs w:val="32"/>
        </w:rPr>
        <w:t>本单位无此项预算安排</w:t>
      </w:r>
      <w:r>
        <w:rPr>
          <w:rFonts w:hint="eastAsia" w:ascii="仿宋_GB2312" w:eastAsia="仿宋_GB2312"/>
          <w:color w:val="000000" w:themeColor="text1"/>
          <w:sz w:val="32"/>
          <w:szCs w:val="32"/>
          <w14:textFill>
            <w14:solidFill>
              <w14:schemeClr w14:val="tx1"/>
            </w14:solidFill>
          </w14:textFill>
        </w:rPr>
        <w:t>等。</w:t>
      </w:r>
      <w:bookmarkEnd w:id="78"/>
      <w:bookmarkStart w:id="79" w:name="OLE_LINK84"/>
      <w:r>
        <w:rPr>
          <w:rFonts w:hint="eastAsia" w:ascii="仿宋_GB2312" w:eastAsia="仿宋_GB2312"/>
          <w:sz w:val="32"/>
          <w:szCs w:val="32"/>
        </w:rPr>
        <w:t>新疆喀什地区中共英吉沙县委党校</w:t>
      </w:r>
      <w:r>
        <w:rPr>
          <w:rFonts w:hint="eastAsia" w:ascii="仿宋_GB2312" w:eastAsia="仿宋_GB2312"/>
          <w:color w:val="000000" w:themeColor="text1"/>
          <w:sz w:val="32"/>
          <w:szCs w:val="32"/>
          <w14:textFill>
            <w14:solidFill>
              <w14:schemeClr w14:val="tx1"/>
            </w14:solidFill>
          </w14:textFill>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批次，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9"/>
    </w:p>
    <w:p>
      <w:pPr>
        <w:spacing w:line="54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bookmarkStart w:id="80" w:name="OLE_LINK85"/>
      <w:r>
        <w:rPr>
          <w:rFonts w:hint="eastAsia" w:ascii="仿宋_GB2312" w:eastAsia="仿宋_GB2312"/>
          <w:color w:val="000000" w:themeColor="text1"/>
          <w:sz w:val="32"/>
          <w:szCs w:val="32"/>
          <w14:textFill>
            <w14:solidFill>
              <w14:schemeClr w14:val="tx1"/>
            </w14:solidFill>
          </w14:textFill>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，预决算差异率0%，差异主要原因是本单位无此项预算安排。</w:t>
      </w:r>
      <w:bookmarkEnd w:id="80"/>
      <w:bookmarkStart w:id="81" w:name="OLE_LINK87"/>
      <w:bookmarkStart w:id="82" w:name="OLE_LINK86"/>
      <w:r>
        <w:rPr>
          <w:rFonts w:hint="eastAsia" w:ascii="仿宋_GB2312" w:hAnsi="宋体" w:eastAsia="仿宋_GB2312" w:cs="宋体"/>
          <w:color w:val="000000" w:themeColor="text1"/>
          <w:kern w:val="0"/>
          <w:sz w:val="32"/>
          <w:szCs w:val="32"/>
          <w14:textFill>
            <w14:solidFill>
              <w14:schemeClr w14:val="tx1"/>
            </w14:solidFill>
          </w14:textFill>
        </w:rPr>
        <w:t>其中：因公出国（境）费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，预决算差异率0%，差异主要原因是本单位无此项预算安排；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14:textFill>
            <w14:solidFill>
              <w14:schemeClr w14:val="tx1"/>
            </w14:solidFill>
          </w14:textFill>
        </w:rPr>
        <w:t>公务用车购置</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，预决算差异率0%，差异主要原因是本单位无此项预算安排；</w:t>
      </w:r>
      <w:bookmarkEnd w:id="83"/>
      <w:bookmarkEnd w:id="84"/>
      <w:bookmarkStart w:id="85" w:name="OLE_LINK90"/>
      <w:r>
        <w:rPr>
          <w:rFonts w:hint="eastAsia" w:ascii="仿宋_GB2312" w:hAnsi="宋体" w:eastAsia="仿宋_GB2312" w:cs="宋体"/>
          <w:color w:val="000000" w:themeColor="text1"/>
          <w:kern w:val="0"/>
          <w:sz w:val="32"/>
          <w:szCs w:val="32"/>
          <w14:textFill>
            <w14:solidFill>
              <w14:schemeClr w14:val="tx1"/>
            </w14:solidFill>
          </w14:textFill>
        </w:rPr>
        <w:t>公务用车运行费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，预决算差异率0%，差异主要原因是本单位无此项预算安排；</w:t>
      </w:r>
      <w:bookmarkEnd w:id="85"/>
      <w:bookmarkStart w:id="86" w:name="OLE_LINK91"/>
      <w:r>
        <w:rPr>
          <w:rFonts w:hint="eastAsia" w:ascii="仿宋_GB2312" w:hAnsi="宋体" w:eastAsia="仿宋_GB2312" w:cs="宋体"/>
          <w:color w:val="000000" w:themeColor="text1"/>
          <w:kern w:val="0"/>
          <w:sz w:val="32"/>
          <w:szCs w:val="32"/>
          <w14:textFill>
            <w14:solidFill>
              <w14:schemeClr w14:val="tx1"/>
            </w14:solidFill>
          </w14:textFill>
        </w:rPr>
        <w:t>公务接待费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w:t>
      </w:r>
      <w:bookmarkEnd w:id="86"/>
      <w:r>
        <w:rPr>
          <w:rFonts w:ascii="仿宋_GB2312" w:eastAsia="仿宋_GB2312"/>
          <w:color w:val="000000" w:themeColor="text1"/>
          <w:sz w:val="32"/>
          <w:szCs w:val="32"/>
          <w14:textFill>
            <w14:solidFill>
              <w14:schemeClr w14:val="tx1"/>
            </w14:solidFill>
          </w14:textFill>
        </w:rPr>
        <w:t>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新疆喀什地区中共英吉沙县委党校日常公用经费23.38万元，</w:t>
      </w:r>
      <w:bookmarkStart w:id="92" w:name="_GoBack"/>
      <w:bookmarkEnd w:id="92"/>
      <w:r>
        <w:rPr>
          <w:rFonts w:hint="eastAsia" w:ascii="仿宋_GB2312" w:eastAsia="仿宋_GB2312"/>
          <w:color w:val="000000" w:themeColor="text1"/>
          <w:sz w:val="32"/>
          <w:szCs w:val="32"/>
          <w14:textFill>
            <w14:solidFill>
              <w14:schemeClr w14:val="tx1"/>
            </w14:solidFill>
          </w14:textFill>
        </w:rPr>
        <w:t>与上年相比，增加2.17万元，增长10.23%，增加的主要原因是：化解以前年度的债务，支出增加。</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六、政府采购情况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w:t>
      </w:r>
      <w:bookmarkStart w:id="87" w:name="OLE_LINK45"/>
      <w:r>
        <w:rPr>
          <w:rFonts w:hint="eastAsia" w:ascii="仿宋_GB2312" w:eastAsia="仿宋_GB2312"/>
          <w:color w:val="000000" w:themeColor="text1"/>
          <w:sz w:val="32"/>
          <w:szCs w:val="32"/>
          <w14:textFill>
            <w14:solidFill>
              <w14:schemeClr w14:val="tx1"/>
            </w14:solidFill>
          </w14:textFill>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万元，其中：</w:t>
      </w:r>
      <w:bookmarkStart w:id="88" w:name="OLE_LINK46"/>
      <w:r>
        <w:rPr>
          <w:rFonts w:hint="eastAsia" w:ascii="仿宋_GB2312" w:eastAsia="仿宋_GB2312"/>
          <w:color w:val="000000" w:themeColor="text1"/>
          <w:sz w:val="32"/>
          <w:szCs w:val="32"/>
          <w14:textFill>
            <w14:solidFill>
              <w14:schemeClr w14:val="tx1"/>
            </w14:solidFill>
          </w14:textFill>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89" w:name="OLE_LINK47"/>
      <w:r>
        <w:rPr>
          <w:rFonts w:hint="eastAsia" w:ascii="仿宋_GB2312" w:eastAsia="仿宋_GB2312"/>
          <w:color w:val="000000" w:themeColor="text1"/>
          <w:sz w:val="32"/>
          <w:szCs w:val="32"/>
          <w14:textFill>
            <w14:solidFill>
              <w14:schemeClr w14:val="tx1"/>
            </w14:solidFill>
          </w14:textFill>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90" w:name="OLE_LINK48"/>
      <w:r>
        <w:rPr>
          <w:rFonts w:hint="eastAsia" w:ascii="仿宋_GB2312" w:eastAsia="仿宋_GB2312"/>
          <w:color w:val="000000" w:themeColor="text1"/>
          <w:sz w:val="32"/>
          <w:szCs w:val="32"/>
          <w14:textFill>
            <w14:solidFill>
              <w14:schemeClr w14:val="tx1"/>
            </w14:solidFill>
          </w14:textFill>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七、其他重要事项的情况</w:t>
      </w:r>
    </w:p>
    <w:p>
      <w:pPr>
        <w:spacing w:line="540" w:lineRule="exact"/>
        <w:ind w:firstLine="643" w:firstLineChars="200"/>
        <w:rPr>
          <w:rFonts w:ascii="楷体_GB2312" w:eastAsia="楷体_GB2312"/>
          <w:b/>
          <w:bCs/>
          <w:color w:val="000000" w:themeColor="text1"/>
          <w:sz w:val="32"/>
          <w:szCs w:val="32"/>
          <w14:textFill>
            <w14:solidFill>
              <w14:schemeClr w14:val="tx1"/>
            </w14:solidFill>
          </w14:textFill>
        </w:rPr>
      </w:pPr>
      <w:r>
        <w:rPr>
          <w:rFonts w:hint="eastAsia" w:ascii="楷体_GB2312" w:eastAsia="楷体_GB2312"/>
          <w:b/>
          <w:bCs/>
          <w:color w:val="000000" w:themeColor="text1"/>
          <w:sz w:val="32"/>
          <w:szCs w:val="32"/>
          <w14:textFill>
            <w14:solidFill>
              <w14:schemeClr w14:val="tx1"/>
            </w14:solidFill>
          </w14:textFill>
        </w:rPr>
        <w:t>（一）国有资产占用情况说明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91" w:name="OLE_LINK97"/>
      <w:r>
        <w:rPr>
          <w:rFonts w:hint="eastAsia" w:ascii="仿宋_GB2312" w:eastAsia="仿宋_GB2312"/>
          <w:color w:val="000000" w:themeColor="text1"/>
          <w:sz w:val="32"/>
          <w:szCs w:val="32"/>
          <w14:textFill>
            <w14:solidFill>
              <w14:schemeClr w14:val="tx1"/>
            </w14:solidFill>
          </w14:textFill>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辆，价值</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辆、执法执勤用车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辆、其他用车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辆，其他用车主要是：</w:t>
      </w:r>
      <w:r>
        <w:rPr>
          <w:rFonts w:ascii="仿宋_GB2312" w:eastAsia="仿宋_GB2312"/>
          <w:color w:val="000000" w:themeColor="text1"/>
          <w:sz w:val="32"/>
          <w:szCs w:val="32"/>
          <w14:textFill>
            <w14:solidFill>
              <w14:schemeClr w14:val="tx1"/>
            </w14:solidFill>
          </w14:textFill>
        </w:rPr>
        <w:t>无其他用车；</w:t>
      </w:r>
      <w:r>
        <w:rPr>
          <w:rFonts w:hint="eastAsia" w:ascii="仿宋_GB2312" w:eastAsia="仿宋_GB2312"/>
          <w:color w:val="000000" w:themeColor="text1"/>
          <w:sz w:val="32"/>
          <w:szCs w:val="32"/>
          <w14:textFill>
            <w14:solidFill>
              <w14:schemeClr w14:val="tx1"/>
            </w14:solidFill>
          </w14:textFill>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中共英吉沙县委党校</w:t>
      </w:r>
      <w:r>
        <w:rPr>
          <w:rFonts w:ascii="仿宋_GB2312" w:eastAsia="仿宋_GB2312"/>
          <w:sz w:val="32"/>
          <w:szCs w:val="32"/>
        </w:rPr>
        <w:t>2018年度部门预算总额为</w:t>
      </w:r>
      <w:r>
        <w:rPr>
          <w:rFonts w:hint="eastAsia" w:ascii="仿宋_GB2312" w:eastAsia="仿宋_GB2312"/>
          <w:sz w:val="32"/>
          <w:szCs w:val="32"/>
          <w:lang w:val="en-US" w:eastAsia="zh-CN"/>
        </w:rPr>
        <w:t>0</w:t>
      </w:r>
      <w:r>
        <w:rPr>
          <w:rFonts w:ascii="仿宋_GB2312" w:eastAsia="仿宋_GB2312"/>
          <w:sz w:val="32"/>
          <w:szCs w:val="32"/>
        </w:rPr>
        <w:t>万元，执行金额为</w:t>
      </w:r>
      <w:r>
        <w:rPr>
          <w:rFonts w:hint="eastAsia" w:ascii="仿宋_GB2312" w:eastAsia="仿宋_GB2312"/>
          <w:sz w:val="32"/>
          <w:szCs w:val="32"/>
          <w:lang w:val="en-US" w:eastAsia="zh-CN"/>
        </w:rPr>
        <w:t>0</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本单位支出功能分类说明</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sz w:val="32"/>
          <w:szCs w:val="32"/>
        </w:rPr>
        <w:t>205（类）08（款）02（项）指：干部教育。208（类）05（款）05（项）指：机关事业单位基本养老保险缴费支出。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英吉沙县委党校</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8B04A24"/>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54204EE"/>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26883"/>
    <w:rsid w:val="4AAF085C"/>
    <w:rsid w:val="4AEB7E60"/>
    <w:rsid w:val="4B4B135B"/>
    <w:rsid w:val="4BC7055F"/>
    <w:rsid w:val="4CFC7DB2"/>
    <w:rsid w:val="4E7C187D"/>
    <w:rsid w:val="4F814134"/>
    <w:rsid w:val="508941AD"/>
    <w:rsid w:val="50E65530"/>
    <w:rsid w:val="51457139"/>
    <w:rsid w:val="51574DBD"/>
    <w:rsid w:val="51EC1DA8"/>
    <w:rsid w:val="52FC5524"/>
    <w:rsid w:val="532D7A17"/>
    <w:rsid w:val="546D5040"/>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131251"/>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BB067E7"/>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5</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2021-06-04T05:39:12Z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5F5E5D5B54BF4AB18AF433C83704668D</vt:lpwstr>
  </property>
</Properties>
</file>